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B2131" w14:textId="5D31C1A8" w:rsidR="00152CEF" w:rsidRDefault="00514E0C" w:rsidP="00514E0C">
      <w:pPr>
        <w:pStyle w:val="Rubrik1"/>
      </w:pPr>
      <w:bookmarkStart w:id="0" w:name="_GoBack"/>
      <w:bookmarkEnd w:id="0"/>
      <w:r>
        <w:t>Information om inkubatorn</w:t>
      </w:r>
    </w:p>
    <w:p w14:paraId="6861D75D" w14:textId="68A8A54A" w:rsidR="00623FB5" w:rsidRDefault="00623FB5" w:rsidP="000665CB">
      <w:pPr>
        <w:pStyle w:val="Rubrik2"/>
        <w:numPr>
          <w:ilvl w:val="0"/>
          <w:numId w:val="2"/>
        </w:numPr>
      </w:pPr>
      <w:r>
        <w:t>Inkubatorns uppdrag och verksamhetsdirektiv</w:t>
      </w:r>
    </w:p>
    <w:p w14:paraId="0C8FFA22" w14:textId="77777777" w:rsidR="00623FB5" w:rsidRDefault="00623FB5" w:rsidP="00FF4069">
      <w:pPr>
        <w:pStyle w:val="brdtext"/>
        <w:spacing w:line="240" w:lineRule="auto"/>
      </w:pPr>
      <w:r w:rsidRPr="00582A42">
        <w:rPr>
          <w:b/>
        </w:rPr>
        <w:t>Vad</w:t>
      </w:r>
      <w:r>
        <w:t>: Sökanden ska bilägga den senaste verksamhetsplanen eller -direktiven som ägarna och/eller styrelsen beslutat för inkubatorn. I de fall det offentliga uppdraget inte framgår av verksamhetsplanen/-direktiven så ska sökanden inkludera den uppdragsbeskrivning som beskriver inkubatorns offentliga uppdrag.</w:t>
      </w:r>
    </w:p>
    <w:p w14:paraId="0A7B9AAF" w14:textId="1E25F0DE" w:rsidR="00623FB5" w:rsidRDefault="00623FB5" w:rsidP="00FF4069">
      <w:pPr>
        <w:pStyle w:val="brdtext"/>
        <w:spacing w:line="240" w:lineRule="auto"/>
      </w:pPr>
      <w:r w:rsidRPr="00582A42">
        <w:rPr>
          <w:b/>
        </w:rPr>
        <w:t>Varför</w:t>
      </w:r>
      <w:r>
        <w:t xml:space="preserve">: </w:t>
      </w:r>
      <w:r w:rsidR="005A4B4E">
        <w:t>Dokumenten ger</w:t>
      </w:r>
      <w:r>
        <w:t xml:space="preserve"> Vinnova möjlighet att bedöma inkubatorns verksamhet i förhållande till syftet med nationella inkubatorprogram</w:t>
      </w:r>
      <w:r w:rsidR="009B2B53">
        <w:t>met</w:t>
      </w:r>
      <w:r>
        <w:t xml:space="preserve"> samt </w:t>
      </w:r>
      <w:r w:rsidR="009B2B53">
        <w:t>om</w:t>
      </w:r>
      <w:r>
        <w:t xml:space="preserve"> krav</w:t>
      </w:r>
      <w:r w:rsidR="009B2B53">
        <w:t>et</w:t>
      </w:r>
      <w:r>
        <w:t xml:space="preserve"> på offentligt uppdrag </w:t>
      </w:r>
      <w:r w:rsidR="009B2B53">
        <w:t>uppfylls</w:t>
      </w:r>
      <w:r>
        <w:t>.</w:t>
      </w:r>
    </w:p>
    <w:p w14:paraId="42E9E51F" w14:textId="5524DB46" w:rsidR="00623FB5" w:rsidRDefault="00623FB5" w:rsidP="00FF4069">
      <w:pPr>
        <w:pStyle w:val="brdtext"/>
        <w:spacing w:line="240" w:lineRule="auto"/>
      </w:pPr>
      <w:r w:rsidRPr="00CF18C0">
        <w:rPr>
          <w:b/>
        </w:rPr>
        <w:t>Hur</w:t>
      </w:r>
      <w:r>
        <w:t xml:space="preserve">: </w:t>
      </w:r>
      <w:r w:rsidR="006A0DB2">
        <w:t xml:space="preserve">Bifoga </w:t>
      </w:r>
      <w:r w:rsidR="00A731F4">
        <w:t>s</w:t>
      </w:r>
      <w:r w:rsidR="006A0DB2">
        <w:t>om Bilaga 1.1 senaste v</w:t>
      </w:r>
      <w:r w:rsidR="006A0DB2" w:rsidRPr="0059668A">
        <w:t>erksamhetsp</w:t>
      </w:r>
      <w:r w:rsidR="006A0DB2">
        <w:t>lan/</w:t>
      </w:r>
      <w:r w:rsidR="006A0DB2" w:rsidRPr="0059668A">
        <w:t xml:space="preserve">direktiv </w:t>
      </w:r>
      <w:r w:rsidR="006A0DB2">
        <w:t>från</w:t>
      </w:r>
      <w:r w:rsidR="006A0DB2" w:rsidRPr="0059668A">
        <w:t xml:space="preserve"> ägarna och/eller styrelsen</w:t>
      </w:r>
      <w:r w:rsidR="006A0DB2">
        <w:t xml:space="preserve"> samt i </w:t>
      </w:r>
      <w:r w:rsidR="00C161D5">
        <w:t xml:space="preserve">förekommande fall </w:t>
      </w:r>
      <w:r w:rsidR="0018035A">
        <w:t xml:space="preserve">inkludera </w:t>
      </w:r>
      <w:r w:rsidR="008C3C73">
        <w:t xml:space="preserve">i </w:t>
      </w:r>
      <w:r w:rsidR="00C161D5">
        <w:t xml:space="preserve">samma dokument </w:t>
      </w:r>
      <w:r w:rsidR="008C3C73">
        <w:t xml:space="preserve">eventuell </w:t>
      </w:r>
      <w:r w:rsidR="006A0DB2">
        <w:t xml:space="preserve">separat uppdragsbeskskrivning </w:t>
      </w:r>
      <w:r w:rsidR="003513E6">
        <w:t>som verifierar inkubatorns</w:t>
      </w:r>
      <w:r w:rsidR="006A0DB2">
        <w:t xml:space="preserve"> offentlig</w:t>
      </w:r>
      <w:r w:rsidR="008716F4">
        <w:t>a</w:t>
      </w:r>
      <w:r w:rsidR="006A0DB2">
        <w:t xml:space="preserve"> uppdrag</w:t>
      </w:r>
      <w:r w:rsidR="00452B91">
        <w:t>.</w:t>
      </w:r>
    </w:p>
    <w:p w14:paraId="5360574A" w14:textId="77777777" w:rsidR="00452B91" w:rsidRDefault="00452B91" w:rsidP="00FF4069">
      <w:pPr>
        <w:pStyle w:val="brdtext"/>
        <w:spacing w:line="240" w:lineRule="auto"/>
      </w:pPr>
    </w:p>
    <w:p w14:paraId="22079CEC" w14:textId="25CBD8E0" w:rsidR="00623FB5" w:rsidRDefault="00623FB5" w:rsidP="00FF4069">
      <w:pPr>
        <w:pStyle w:val="Rubrik2"/>
        <w:numPr>
          <w:ilvl w:val="0"/>
          <w:numId w:val="2"/>
        </w:numPr>
      </w:pPr>
      <w:r>
        <w:t xml:space="preserve">Viktiga milstenar för verksamhetsutveckling </w:t>
      </w:r>
      <w:r w:rsidR="00B10D3B">
        <w:t>2020–2024</w:t>
      </w:r>
    </w:p>
    <w:p w14:paraId="191BC83A" w14:textId="718A4F15" w:rsidR="00623FB5" w:rsidRDefault="00623FB5" w:rsidP="00FF4069">
      <w:pPr>
        <w:pStyle w:val="brdtext"/>
        <w:spacing w:line="240" w:lineRule="auto"/>
      </w:pPr>
      <w:r w:rsidRPr="00CF18C0">
        <w:rPr>
          <w:b/>
        </w:rPr>
        <w:t>Vad</w:t>
      </w:r>
      <w:r>
        <w:t xml:space="preserve">: Sökanden ska redovisa </w:t>
      </w:r>
      <w:r w:rsidR="00A22514">
        <w:t>inkubatorns</w:t>
      </w:r>
      <w:r>
        <w:t xml:space="preserve"> </w:t>
      </w:r>
      <w:r w:rsidR="00B10D3B">
        <w:t>3–5</w:t>
      </w:r>
      <w:r>
        <w:t xml:space="preserve"> viktigaste områden för verksamhetsutveckling </w:t>
      </w:r>
      <w:r w:rsidR="004649E5">
        <w:t xml:space="preserve">under </w:t>
      </w:r>
      <w:r w:rsidR="00B10D3B">
        <w:t>2020–2024</w:t>
      </w:r>
      <w:r w:rsidR="004649E5">
        <w:t xml:space="preserve"> </w:t>
      </w:r>
      <w:r>
        <w:t>och ange milstenar för dessa.</w:t>
      </w:r>
    </w:p>
    <w:p w14:paraId="59DD1F47" w14:textId="1607249F" w:rsidR="00623FB5" w:rsidRDefault="00623FB5" w:rsidP="00FF4069">
      <w:pPr>
        <w:pStyle w:val="brdtext"/>
        <w:spacing w:line="240" w:lineRule="auto"/>
      </w:pPr>
      <w:r w:rsidRPr="00767355">
        <w:rPr>
          <w:b/>
        </w:rPr>
        <w:t>Varför</w:t>
      </w:r>
      <w:r>
        <w:t xml:space="preserve">: </w:t>
      </w:r>
      <w:r w:rsidR="008716F4">
        <w:t>R</w:t>
      </w:r>
      <w:r>
        <w:t>edovisning</w:t>
      </w:r>
      <w:r w:rsidR="006E3882">
        <w:t>en</w:t>
      </w:r>
      <w:r>
        <w:t xml:space="preserve"> </w:t>
      </w:r>
      <w:r w:rsidR="00A731F4">
        <w:t xml:space="preserve">är inte avgörande för </w:t>
      </w:r>
      <w:r>
        <w:t>bedömningen av ansökan</w:t>
      </w:r>
      <w:r w:rsidR="00A05A29">
        <w:t xml:space="preserve"> i denna utlysning</w:t>
      </w:r>
      <w:r w:rsidR="007E4F66">
        <w:t>,</w:t>
      </w:r>
      <w:r>
        <w:t xml:space="preserve"> men </w:t>
      </w:r>
      <w:r w:rsidR="00C54F6B">
        <w:t xml:space="preserve">ger Vinnova underlag </w:t>
      </w:r>
      <w:r w:rsidR="009B2B53">
        <w:t xml:space="preserve">för att utveckla den nationella inkubationsförmågan </w:t>
      </w:r>
      <w:r w:rsidR="00C54F6B">
        <w:t>i</w:t>
      </w:r>
      <w:r w:rsidR="009B2B53">
        <w:t xml:space="preserve"> </w:t>
      </w:r>
      <w:r>
        <w:t xml:space="preserve">kommande insatser. </w:t>
      </w:r>
      <w:r w:rsidR="00763206">
        <w:t>I</w:t>
      </w:r>
      <w:r>
        <w:t>nformationen berika</w:t>
      </w:r>
      <w:r w:rsidR="005D28A1">
        <w:t>r</w:t>
      </w:r>
      <w:r>
        <w:t xml:space="preserve"> och nyansera</w:t>
      </w:r>
      <w:r w:rsidR="005D28A1">
        <w:t>r</w:t>
      </w:r>
      <w:r>
        <w:t xml:space="preserve"> bedömningen av verksamhetens kvalitet och potential.  </w:t>
      </w:r>
    </w:p>
    <w:p w14:paraId="1305C834" w14:textId="26CAF416" w:rsidR="00623FB5" w:rsidRDefault="00623FB5" w:rsidP="00FF4069">
      <w:pPr>
        <w:pStyle w:val="brdtext"/>
        <w:spacing w:line="240" w:lineRule="auto"/>
      </w:pPr>
      <w:r w:rsidRPr="00767355">
        <w:rPr>
          <w:b/>
        </w:rPr>
        <w:t>Hur</w:t>
      </w:r>
      <w:r>
        <w:t xml:space="preserve">: Verksamhetsutvecklingen redovisas </w:t>
      </w:r>
      <w:r w:rsidR="00271D9A">
        <w:t>i</w:t>
      </w:r>
      <w:r>
        <w:t xml:space="preserve"> tabellen nedan</w:t>
      </w:r>
      <w:r w:rsidR="004D4ED4">
        <w:t xml:space="preserve"> (lägg vid behov till fler rader i tabellen)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843"/>
      </w:tblGrid>
      <w:tr w:rsidR="00623FB5" w14:paraId="2B3CB93A" w14:textId="77777777" w:rsidTr="00F464EA">
        <w:tc>
          <w:tcPr>
            <w:tcW w:w="3539" w:type="dxa"/>
          </w:tcPr>
          <w:p w14:paraId="5FDE2B76" w14:textId="449C3121" w:rsidR="00623FB5" w:rsidRPr="00B10D3B" w:rsidRDefault="00623FB5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B10D3B">
              <w:rPr>
                <w:b/>
                <w:sz w:val="22"/>
                <w:szCs w:val="22"/>
              </w:rPr>
              <w:t xml:space="preserve">Beskrivning </w:t>
            </w:r>
            <w:r w:rsidR="005A47F9" w:rsidRPr="00B10D3B">
              <w:rPr>
                <w:b/>
                <w:sz w:val="22"/>
                <w:szCs w:val="22"/>
              </w:rPr>
              <w:t xml:space="preserve">av </w:t>
            </w:r>
            <w:r w:rsidR="007E1FFA" w:rsidRPr="00B10D3B">
              <w:rPr>
                <w:b/>
                <w:sz w:val="22"/>
                <w:szCs w:val="22"/>
              </w:rPr>
              <w:t xml:space="preserve">område för verksamhetsutveckling </w:t>
            </w:r>
            <w:r w:rsidRPr="00B10D3B">
              <w:rPr>
                <w:b/>
                <w:sz w:val="22"/>
                <w:szCs w:val="22"/>
              </w:rPr>
              <w:t>(</w:t>
            </w:r>
            <w:r w:rsidR="007E1FFA" w:rsidRPr="00B10D3B">
              <w:rPr>
                <w:b/>
                <w:sz w:val="22"/>
                <w:szCs w:val="22"/>
              </w:rPr>
              <w:t>v</w:t>
            </w:r>
            <w:r w:rsidRPr="00B10D3B">
              <w:rPr>
                <w:b/>
                <w:sz w:val="22"/>
                <w:szCs w:val="22"/>
              </w:rPr>
              <w:t>arför</w:t>
            </w:r>
            <w:r w:rsidR="00026E97" w:rsidRPr="00B10D3B">
              <w:rPr>
                <w:b/>
                <w:sz w:val="22"/>
                <w:szCs w:val="22"/>
              </w:rPr>
              <w:t xml:space="preserve"> och</w:t>
            </w:r>
            <w:r w:rsidRPr="00B10D3B">
              <w:rPr>
                <w:b/>
                <w:sz w:val="22"/>
                <w:szCs w:val="22"/>
              </w:rPr>
              <w:t xml:space="preserve"> vad)</w:t>
            </w:r>
          </w:p>
        </w:tc>
        <w:tc>
          <w:tcPr>
            <w:tcW w:w="3544" w:type="dxa"/>
          </w:tcPr>
          <w:p w14:paraId="69362D06" w14:textId="23FA8005" w:rsidR="00623FB5" w:rsidRPr="000D5228" w:rsidRDefault="00623FB5" w:rsidP="00FF4069">
            <w:pPr>
              <w:pStyle w:val="brdtext"/>
              <w:spacing w:line="240" w:lineRule="auto"/>
              <w:rPr>
                <w:b/>
              </w:rPr>
            </w:pPr>
            <w:r w:rsidRPr="000D5228">
              <w:rPr>
                <w:b/>
              </w:rPr>
              <w:t>Resultat som ska</w:t>
            </w:r>
            <w:r w:rsidR="00F464EA">
              <w:rPr>
                <w:b/>
              </w:rPr>
              <w:t xml:space="preserve"> </w:t>
            </w:r>
            <w:r w:rsidRPr="000D5228">
              <w:rPr>
                <w:b/>
              </w:rPr>
              <w:t>åstadkommas</w:t>
            </w:r>
          </w:p>
        </w:tc>
        <w:tc>
          <w:tcPr>
            <w:tcW w:w="1843" w:type="dxa"/>
          </w:tcPr>
          <w:p w14:paraId="5E6A333E" w14:textId="50BD2A6D" w:rsidR="00623FB5" w:rsidRPr="000D5228" w:rsidRDefault="00623FB5" w:rsidP="00FF4069">
            <w:pPr>
              <w:pStyle w:val="brdtext"/>
              <w:spacing w:line="240" w:lineRule="auto"/>
              <w:rPr>
                <w:b/>
              </w:rPr>
            </w:pPr>
            <w:r>
              <w:rPr>
                <w:b/>
              </w:rPr>
              <w:t>Vilket datum ska arbete</w:t>
            </w:r>
            <w:r w:rsidR="00026E97">
              <w:rPr>
                <w:b/>
              </w:rPr>
              <w:t>t</w:t>
            </w:r>
            <w:r>
              <w:rPr>
                <w:b/>
              </w:rPr>
              <w:t xml:space="preserve"> vara färdigt?</w:t>
            </w:r>
          </w:p>
        </w:tc>
      </w:tr>
      <w:tr w:rsidR="00623FB5" w14:paraId="722A43F6" w14:textId="77777777" w:rsidTr="00F464EA">
        <w:tc>
          <w:tcPr>
            <w:tcW w:w="3539" w:type="dxa"/>
          </w:tcPr>
          <w:p w14:paraId="539AA888" w14:textId="6C6F0EB3" w:rsidR="00623FB5" w:rsidRDefault="00623FB5" w:rsidP="00FF4069">
            <w:pPr>
              <w:pStyle w:val="brdtext"/>
              <w:spacing w:line="240" w:lineRule="auto"/>
            </w:pPr>
          </w:p>
        </w:tc>
        <w:tc>
          <w:tcPr>
            <w:tcW w:w="3544" w:type="dxa"/>
          </w:tcPr>
          <w:p w14:paraId="6F4047AA" w14:textId="77777777" w:rsidR="00623FB5" w:rsidRDefault="00623FB5" w:rsidP="00FF4069">
            <w:pPr>
              <w:pStyle w:val="brdtext"/>
              <w:spacing w:line="240" w:lineRule="auto"/>
            </w:pPr>
          </w:p>
        </w:tc>
        <w:tc>
          <w:tcPr>
            <w:tcW w:w="1843" w:type="dxa"/>
          </w:tcPr>
          <w:p w14:paraId="100A31EE" w14:textId="77777777" w:rsidR="00623FB5" w:rsidRDefault="00623FB5" w:rsidP="00FF4069">
            <w:pPr>
              <w:pStyle w:val="brdtext"/>
              <w:spacing w:line="240" w:lineRule="auto"/>
            </w:pPr>
          </w:p>
        </w:tc>
      </w:tr>
      <w:tr w:rsidR="009F56EA" w14:paraId="19510955" w14:textId="77777777" w:rsidTr="00F464EA">
        <w:tc>
          <w:tcPr>
            <w:tcW w:w="3539" w:type="dxa"/>
          </w:tcPr>
          <w:p w14:paraId="42D1F2B9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3544" w:type="dxa"/>
          </w:tcPr>
          <w:p w14:paraId="0B597E66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1843" w:type="dxa"/>
          </w:tcPr>
          <w:p w14:paraId="0352C4B5" w14:textId="77777777" w:rsidR="009F56EA" w:rsidRDefault="009F56EA" w:rsidP="00FF4069">
            <w:pPr>
              <w:pStyle w:val="brdtext"/>
              <w:spacing w:line="240" w:lineRule="auto"/>
            </w:pPr>
          </w:p>
        </w:tc>
      </w:tr>
      <w:tr w:rsidR="009F56EA" w14:paraId="07AA2060" w14:textId="77777777" w:rsidTr="00F464EA">
        <w:tc>
          <w:tcPr>
            <w:tcW w:w="3539" w:type="dxa"/>
          </w:tcPr>
          <w:p w14:paraId="6A4C7DA1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3544" w:type="dxa"/>
          </w:tcPr>
          <w:p w14:paraId="137C7A42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1843" w:type="dxa"/>
          </w:tcPr>
          <w:p w14:paraId="296AF79E" w14:textId="77777777" w:rsidR="009F56EA" w:rsidRDefault="009F56EA" w:rsidP="00FF4069">
            <w:pPr>
              <w:pStyle w:val="brdtext"/>
              <w:spacing w:line="240" w:lineRule="auto"/>
            </w:pPr>
          </w:p>
        </w:tc>
      </w:tr>
      <w:tr w:rsidR="009F56EA" w14:paraId="612B1E2A" w14:textId="77777777" w:rsidTr="00F464EA">
        <w:tc>
          <w:tcPr>
            <w:tcW w:w="3539" w:type="dxa"/>
          </w:tcPr>
          <w:p w14:paraId="4D1EAAB6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3544" w:type="dxa"/>
          </w:tcPr>
          <w:p w14:paraId="2C87F1C5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1843" w:type="dxa"/>
          </w:tcPr>
          <w:p w14:paraId="7652CA63" w14:textId="77777777" w:rsidR="009F56EA" w:rsidRDefault="009F56EA" w:rsidP="00FF4069">
            <w:pPr>
              <w:pStyle w:val="brdtext"/>
              <w:spacing w:line="240" w:lineRule="auto"/>
            </w:pPr>
          </w:p>
        </w:tc>
      </w:tr>
      <w:tr w:rsidR="009F56EA" w14:paraId="6314897C" w14:textId="77777777" w:rsidTr="00F464EA">
        <w:tc>
          <w:tcPr>
            <w:tcW w:w="3539" w:type="dxa"/>
          </w:tcPr>
          <w:p w14:paraId="7F1289C2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3544" w:type="dxa"/>
          </w:tcPr>
          <w:p w14:paraId="053BD848" w14:textId="77777777" w:rsidR="009F56EA" w:rsidRDefault="009F56EA" w:rsidP="00FF4069">
            <w:pPr>
              <w:pStyle w:val="brdtext"/>
              <w:spacing w:line="240" w:lineRule="auto"/>
            </w:pPr>
          </w:p>
        </w:tc>
        <w:tc>
          <w:tcPr>
            <w:tcW w:w="1843" w:type="dxa"/>
          </w:tcPr>
          <w:p w14:paraId="63E4FEEC" w14:textId="77777777" w:rsidR="009F56EA" w:rsidRDefault="009F56EA" w:rsidP="00FF4069">
            <w:pPr>
              <w:pStyle w:val="brdtext"/>
              <w:spacing w:line="240" w:lineRule="auto"/>
            </w:pPr>
          </w:p>
        </w:tc>
      </w:tr>
    </w:tbl>
    <w:p w14:paraId="43FA2027" w14:textId="77777777" w:rsidR="00FF4069" w:rsidRDefault="00FF4069" w:rsidP="00FF4069">
      <w:pPr>
        <w:pStyle w:val="Rubrik2"/>
      </w:pPr>
    </w:p>
    <w:p w14:paraId="33919ACB" w14:textId="1C8C0DCD" w:rsidR="00623FB5" w:rsidRDefault="00635E45" w:rsidP="00FF4069">
      <w:pPr>
        <w:pStyle w:val="Rubrik2"/>
        <w:numPr>
          <w:ilvl w:val="0"/>
          <w:numId w:val="2"/>
        </w:numPr>
      </w:pPr>
      <w:r>
        <w:t>Driftskostnader</w:t>
      </w:r>
      <w:r w:rsidR="00623FB5">
        <w:t xml:space="preserve"> </w:t>
      </w:r>
      <w:r w:rsidR="000415DC">
        <w:t>2020–2022</w:t>
      </w:r>
    </w:p>
    <w:p w14:paraId="73EC3602" w14:textId="193E3AEF" w:rsidR="00623FB5" w:rsidRDefault="00623FB5" w:rsidP="00FF4069">
      <w:pPr>
        <w:pStyle w:val="brdtext"/>
        <w:spacing w:line="240" w:lineRule="auto"/>
      </w:pPr>
      <w:r w:rsidRPr="00D177B0">
        <w:rPr>
          <w:b/>
        </w:rPr>
        <w:t>Vad</w:t>
      </w:r>
      <w:r>
        <w:t xml:space="preserve">: Sökanden ska redovisa budget för 2020, samt indikativ budget för </w:t>
      </w:r>
      <w:r w:rsidR="00763206">
        <w:t>2021–2022</w:t>
      </w:r>
      <w:r>
        <w:t xml:space="preserve">. </w:t>
      </w:r>
      <w:r w:rsidR="00A87BCD">
        <w:t>Kostnaderna ska dela</w:t>
      </w:r>
      <w:r w:rsidR="004C0EA3">
        <w:t xml:space="preserve">s </w:t>
      </w:r>
      <w:r w:rsidR="00A87BCD">
        <w:t>upp på följande kostnadsslag:</w:t>
      </w:r>
    </w:p>
    <w:p w14:paraId="1BF6B966" w14:textId="39226EA2" w:rsidR="00DC0008" w:rsidRDefault="00DC0008" w:rsidP="00FF4069">
      <w:pPr>
        <w:pStyle w:val="brdtext"/>
        <w:numPr>
          <w:ilvl w:val="0"/>
          <w:numId w:val="3"/>
        </w:numPr>
        <w:spacing w:line="240" w:lineRule="auto"/>
      </w:pPr>
      <w:r w:rsidRPr="003659E1">
        <w:rPr>
          <w:u w:val="single"/>
        </w:rPr>
        <w:t>Tjänster till företagen</w:t>
      </w:r>
      <w:r w:rsidR="0014430E">
        <w:t xml:space="preserve"> </w:t>
      </w:r>
      <w:r w:rsidR="00455B31">
        <w:t>–</w:t>
      </w:r>
      <w:r w:rsidR="0014430E">
        <w:t xml:space="preserve"> avser</w:t>
      </w:r>
      <w:r w:rsidR="00455B31">
        <w:t xml:space="preserve"> </w:t>
      </w:r>
      <w:r w:rsidR="002642E4">
        <w:t xml:space="preserve">kostnader </w:t>
      </w:r>
      <w:r w:rsidR="002642E4" w:rsidRPr="0011671E">
        <w:t xml:space="preserve">för </w:t>
      </w:r>
      <w:r w:rsidR="00455B31" w:rsidRPr="0011671E">
        <w:t>både interna och externa coacher</w:t>
      </w:r>
      <w:r w:rsidR="002642E4" w:rsidRPr="0011671E">
        <w:t xml:space="preserve">, samt kostnader för köp av tjänster som kommer företagen till del, t.ex. </w:t>
      </w:r>
      <w:r w:rsidR="0011671E" w:rsidRPr="0011671E">
        <w:t>juriststöd etc.</w:t>
      </w:r>
    </w:p>
    <w:p w14:paraId="78FB12F1" w14:textId="28D93BAC" w:rsidR="0011671E" w:rsidRDefault="00A87BCD" w:rsidP="00FF4069">
      <w:pPr>
        <w:pStyle w:val="brdtext"/>
        <w:numPr>
          <w:ilvl w:val="0"/>
          <w:numId w:val="3"/>
        </w:numPr>
        <w:spacing w:line="240" w:lineRule="auto"/>
      </w:pPr>
      <w:r w:rsidRPr="003659E1">
        <w:rPr>
          <w:u w:val="single"/>
        </w:rPr>
        <w:t>Infrastruktur</w:t>
      </w:r>
      <w:r>
        <w:t xml:space="preserve"> </w:t>
      </w:r>
      <w:r w:rsidR="00E51B96">
        <w:t>–</w:t>
      </w:r>
      <w:r>
        <w:t xml:space="preserve"> </w:t>
      </w:r>
      <w:r w:rsidR="00E51B96">
        <w:t>avser kostnader som är kopplad</w:t>
      </w:r>
      <w:r w:rsidR="00016392">
        <w:t xml:space="preserve">e </w:t>
      </w:r>
      <w:r w:rsidR="00E51B96">
        <w:t>till selektion och inkubation av företag</w:t>
      </w:r>
      <w:r w:rsidR="004C0EA3">
        <w:t>,</w:t>
      </w:r>
      <w:r w:rsidR="00E51B96">
        <w:t xml:space="preserve"> </w:t>
      </w:r>
      <w:r w:rsidR="00196C38">
        <w:t>t.ex.</w:t>
      </w:r>
      <w:r w:rsidR="00E51B96">
        <w:t xml:space="preserve"> lokaler, it, </w:t>
      </w:r>
      <w:r w:rsidR="008A17DC">
        <w:t>labb, demonstrations</w:t>
      </w:r>
      <w:r w:rsidR="00A634ED">
        <w:t>- och produktions</w:t>
      </w:r>
      <w:r w:rsidR="008A17DC">
        <w:t>anläggningar</w:t>
      </w:r>
      <w:r w:rsidR="00A634ED">
        <w:t xml:space="preserve"> etc.</w:t>
      </w:r>
    </w:p>
    <w:p w14:paraId="351DABCE" w14:textId="29588D6C" w:rsidR="00016392" w:rsidRDefault="00016392" w:rsidP="00FF4069">
      <w:pPr>
        <w:pStyle w:val="brdtext"/>
        <w:numPr>
          <w:ilvl w:val="0"/>
          <w:numId w:val="3"/>
        </w:numPr>
        <w:spacing w:line="240" w:lineRule="auto"/>
      </w:pPr>
      <w:r w:rsidRPr="003659E1">
        <w:rPr>
          <w:u w:val="single"/>
        </w:rPr>
        <w:lastRenderedPageBreak/>
        <w:t xml:space="preserve">Övriga direkta kostnader </w:t>
      </w:r>
      <w:r>
        <w:t>– avser kostnader som är kopplade till selektion och inkubation av företag, men som inte kan klassas i någon av ovanstående kategori</w:t>
      </w:r>
      <w:r w:rsidR="003C482B">
        <w:t>er</w:t>
      </w:r>
      <w:r w:rsidR="00196C38">
        <w:t>, t.ex. resor.</w:t>
      </w:r>
      <w:r>
        <w:t xml:space="preserve"> </w:t>
      </w:r>
    </w:p>
    <w:p w14:paraId="7A5B66A4" w14:textId="6DB05839" w:rsidR="00016392" w:rsidRDefault="00016392" w:rsidP="00FF4069">
      <w:pPr>
        <w:pStyle w:val="brdtext"/>
        <w:numPr>
          <w:ilvl w:val="0"/>
          <w:numId w:val="3"/>
        </w:numPr>
        <w:spacing w:line="240" w:lineRule="auto"/>
      </w:pPr>
      <w:r w:rsidRPr="003659E1">
        <w:rPr>
          <w:u w:val="single"/>
        </w:rPr>
        <w:t>Overhead</w:t>
      </w:r>
      <w:r>
        <w:t xml:space="preserve"> </w:t>
      </w:r>
      <w:r w:rsidR="004C0EA3">
        <w:t>–</w:t>
      </w:r>
      <w:r>
        <w:t xml:space="preserve"> </w:t>
      </w:r>
      <w:r w:rsidR="004C0EA3">
        <w:t xml:space="preserve">avser kostnader för ledning, administration, kontorsservice etc. </w:t>
      </w:r>
      <w:r w:rsidR="00FF4069">
        <w:br/>
      </w:r>
    </w:p>
    <w:p w14:paraId="47E0E9E1" w14:textId="1AB80412" w:rsidR="00623FB5" w:rsidRDefault="00623FB5" w:rsidP="00FF4069">
      <w:pPr>
        <w:pStyle w:val="brdtext"/>
        <w:spacing w:line="240" w:lineRule="auto"/>
      </w:pPr>
      <w:r w:rsidRPr="00D177B0">
        <w:rPr>
          <w:b/>
        </w:rPr>
        <w:t>Varför</w:t>
      </w:r>
      <w:r>
        <w:t xml:space="preserve">: Ge Vinnova en möjlighet att bedöma det ekonomiska sammanhang i vilket Inkubatorprogrammets finansiering kommer att ske samt bedöma kravet att Vinnovas finansiering max utgör 1/3 av inkubatorns </w:t>
      </w:r>
      <w:r w:rsidR="008769CD">
        <w:t>driftskostnader</w:t>
      </w:r>
      <w:r>
        <w:t xml:space="preserve"> under respektive år</w:t>
      </w:r>
    </w:p>
    <w:p w14:paraId="1A794005" w14:textId="7646D653" w:rsidR="00623FB5" w:rsidRDefault="00623FB5" w:rsidP="00FF4069">
      <w:pPr>
        <w:pStyle w:val="brdtext"/>
        <w:spacing w:line="240" w:lineRule="auto"/>
      </w:pPr>
      <w:r w:rsidRPr="00DB4758">
        <w:rPr>
          <w:b/>
        </w:rPr>
        <w:t>Hur</w:t>
      </w:r>
      <w:r>
        <w:t>: Budgeten för inkubator</w:t>
      </w:r>
      <w:r w:rsidR="009656C7">
        <w:t>n</w:t>
      </w:r>
      <w:r>
        <w:t>s totala</w:t>
      </w:r>
      <w:r w:rsidR="000A55A4">
        <w:t xml:space="preserve"> </w:t>
      </w:r>
      <w:r>
        <w:t xml:space="preserve">verksamhet redovisas </w:t>
      </w:r>
      <w:r w:rsidR="00407CD2">
        <w:t xml:space="preserve">i </w:t>
      </w:r>
      <w:r>
        <w:t>tabell</w:t>
      </w:r>
      <w:r w:rsidR="00407CD2">
        <w:t>en nedan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2409"/>
        <w:gridCol w:w="2410"/>
      </w:tblGrid>
      <w:tr w:rsidR="00623FB5" w:rsidRPr="000415DC" w14:paraId="329AD9F9" w14:textId="77777777" w:rsidTr="00327B2E">
        <w:tc>
          <w:tcPr>
            <w:tcW w:w="2405" w:type="dxa"/>
          </w:tcPr>
          <w:p w14:paraId="3899CD25" w14:textId="77777777" w:rsidR="00623FB5" w:rsidRPr="000415DC" w:rsidRDefault="00623FB5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Kostnadsslag (kkr)</w:t>
            </w:r>
          </w:p>
        </w:tc>
        <w:tc>
          <w:tcPr>
            <w:tcW w:w="1418" w:type="dxa"/>
          </w:tcPr>
          <w:p w14:paraId="7F5FC94C" w14:textId="197D7A0C" w:rsidR="00623FB5" w:rsidRPr="000415DC" w:rsidRDefault="00191543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Budget </w:t>
            </w:r>
            <w:r w:rsidR="00623FB5" w:rsidRPr="000415D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2409" w:type="dxa"/>
          </w:tcPr>
          <w:p w14:paraId="18BA660B" w14:textId="33365480" w:rsidR="00623FB5" w:rsidRPr="000415DC" w:rsidRDefault="00327B2E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Indikativ budget </w:t>
            </w:r>
            <w:r w:rsidR="00623FB5" w:rsidRPr="000415D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14:paraId="41E96A2B" w14:textId="60F15F74" w:rsidR="00623FB5" w:rsidRPr="000415DC" w:rsidRDefault="00327B2E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Indikativ budget </w:t>
            </w:r>
            <w:r w:rsidR="00623FB5" w:rsidRPr="000415DC">
              <w:rPr>
                <w:b/>
                <w:sz w:val="22"/>
                <w:szCs w:val="22"/>
              </w:rPr>
              <w:t>2022</w:t>
            </w:r>
          </w:p>
        </w:tc>
      </w:tr>
      <w:tr w:rsidR="00623FB5" w:rsidRPr="000415DC" w14:paraId="3C78789F" w14:textId="77777777" w:rsidTr="00327B2E">
        <w:tc>
          <w:tcPr>
            <w:tcW w:w="2405" w:type="dxa"/>
          </w:tcPr>
          <w:p w14:paraId="79A903F0" w14:textId="7A60E3F2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Tjänster till företagen</w:t>
            </w:r>
            <w:r w:rsidR="0006439B" w:rsidRPr="00041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4091043" w14:textId="569AC505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C1C0C4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0D04A9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67FE0C4D" w14:textId="77777777" w:rsidTr="00327B2E">
        <w:tc>
          <w:tcPr>
            <w:tcW w:w="2405" w:type="dxa"/>
          </w:tcPr>
          <w:p w14:paraId="74B8528F" w14:textId="5AA08C06" w:rsidR="00623FB5" w:rsidRPr="000415DC" w:rsidRDefault="00A87BCD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I</w:t>
            </w:r>
            <w:r w:rsidR="00623FB5" w:rsidRPr="000415DC">
              <w:rPr>
                <w:sz w:val="22"/>
                <w:szCs w:val="22"/>
              </w:rPr>
              <w:t xml:space="preserve">nfrastruktur </w:t>
            </w:r>
          </w:p>
        </w:tc>
        <w:tc>
          <w:tcPr>
            <w:tcW w:w="1418" w:type="dxa"/>
          </w:tcPr>
          <w:p w14:paraId="5E44403E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6173F2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A9FA8E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27EF21DB" w14:textId="77777777" w:rsidTr="00327B2E">
        <w:tc>
          <w:tcPr>
            <w:tcW w:w="2405" w:type="dxa"/>
          </w:tcPr>
          <w:p w14:paraId="182AC356" w14:textId="3BDE67A3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Övr</w:t>
            </w:r>
            <w:r w:rsidR="00D26BD6" w:rsidRPr="000415DC">
              <w:rPr>
                <w:sz w:val="22"/>
                <w:szCs w:val="22"/>
              </w:rPr>
              <w:t>iga</w:t>
            </w:r>
            <w:r w:rsidRPr="000415DC">
              <w:rPr>
                <w:sz w:val="22"/>
                <w:szCs w:val="22"/>
              </w:rPr>
              <w:t xml:space="preserve"> direkta kost</w:t>
            </w:r>
            <w:r w:rsidR="00D26BD6" w:rsidRPr="000415DC">
              <w:rPr>
                <w:sz w:val="22"/>
                <w:szCs w:val="22"/>
              </w:rPr>
              <w:t>nader</w:t>
            </w:r>
          </w:p>
        </w:tc>
        <w:tc>
          <w:tcPr>
            <w:tcW w:w="1418" w:type="dxa"/>
          </w:tcPr>
          <w:p w14:paraId="3B947A28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1F280C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503432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5C2C0795" w14:textId="77777777" w:rsidTr="00327B2E">
        <w:tc>
          <w:tcPr>
            <w:tcW w:w="2405" w:type="dxa"/>
          </w:tcPr>
          <w:p w14:paraId="1BF2912C" w14:textId="761332C5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Overhead</w:t>
            </w:r>
          </w:p>
        </w:tc>
        <w:tc>
          <w:tcPr>
            <w:tcW w:w="1418" w:type="dxa"/>
          </w:tcPr>
          <w:p w14:paraId="43B80AD1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83D8DC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2316BD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3A4F831B" w14:textId="77777777" w:rsidTr="00327B2E">
        <w:tc>
          <w:tcPr>
            <w:tcW w:w="2405" w:type="dxa"/>
          </w:tcPr>
          <w:p w14:paraId="202BBE71" w14:textId="77777777" w:rsidR="00623FB5" w:rsidRPr="000415DC" w:rsidRDefault="00623FB5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Summa</w:t>
            </w:r>
          </w:p>
        </w:tc>
        <w:tc>
          <w:tcPr>
            <w:tcW w:w="1418" w:type="dxa"/>
          </w:tcPr>
          <w:p w14:paraId="4935AA53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D4119D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B4773F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8D9CD57" w14:textId="77777777" w:rsidR="008944F3" w:rsidRDefault="008944F3" w:rsidP="008944F3">
      <w:pPr>
        <w:pStyle w:val="Rubrik2"/>
        <w:ind w:left="720"/>
      </w:pPr>
    </w:p>
    <w:p w14:paraId="176566C5" w14:textId="70FA2E94" w:rsidR="00623FB5" w:rsidRDefault="00623FB5" w:rsidP="00FF4069">
      <w:pPr>
        <w:pStyle w:val="Rubrik2"/>
        <w:numPr>
          <w:ilvl w:val="0"/>
          <w:numId w:val="2"/>
        </w:numPr>
      </w:pPr>
      <w:r>
        <w:t>Kapacitet</w:t>
      </w:r>
    </w:p>
    <w:p w14:paraId="282463BE" w14:textId="0C968F9A" w:rsidR="00623FB5" w:rsidRDefault="00623FB5" w:rsidP="00FF4069">
      <w:pPr>
        <w:pStyle w:val="brdtext"/>
        <w:spacing w:line="240" w:lineRule="auto"/>
      </w:pPr>
      <w:r w:rsidRPr="009A19A9">
        <w:rPr>
          <w:b/>
        </w:rPr>
        <w:t>Vad</w:t>
      </w:r>
      <w:r>
        <w:t xml:space="preserve">: Sökanden ska redovisa den kapacitet i termer av antalet persontimmar som </w:t>
      </w:r>
      <w:r w:rsidR="00635E45">
        <w:t>driftskostnaderna</w:t>
      </w:r>
      <w:r>
        <w:t xml:space="preserve"> ovan kan generera i form av stöd till företag. </w:t>
      </w:r>
    </w:p>
    <w:p w14:paraId="17133124" w14:textId="4940BF7F" w:rsidR="00623FB5" w:rsidRDefault="00623FB5" w:rsidP="00FF4069">
      <w:pPr>
        <w:pStyle w:val="brdtext"/>
        <w:spacing w:line="240" w:lineRule="auto"/>
      </w:pPr>
      <w:r w:rsidRPr="00124F75">
        <w:rPr>
          <w:b/>
        </w:rPr>
        <w:t>Varfö</w:t>
      </w:r>
      <w:r>
        <w:t xml:space="preserve">r: Vinnova vill bedöma </w:t>
      </w:r>
      <w:r w:rsidR="00D829E7">
        <w:t>sökandes</w:t>
      </w:r>
      <w:r>
        <w:t xml:space="preserve"> kapacitet i form av </w:t>
      </w:r>
      <w:r w:rsidR="00815872">
        <w:t>stöd till företag</w:t>
      </w:r>
      <w:r>
        <w:t xml:space="preserve">. </w:t>
      </w:r>
      <w:r w:rsidR="00CA50AA">
        <w:t xml:space="preserve">Programmet har </w:t>
      </w:r>
      <w:r>
        <w:t>hittills saknat</w:t>
      </w:r>
      <w:r w:rsidR="00CA50AA">
        <w:t xml:space="preserve"> denna parameter och </w:t>
      </w:r>
      <w:r>
        <w:t>jurister och utvärderare</w:t>
      </w:r>
      <w:r w:rsidR="00CA50AA">
        <w:t xml:space="preserve"> har efterfrågat den</w:t>
      </w:r>
      <w:r>
        <w:t xml:space="preserve">. </w:t>
      </w:r>
      <w:r w:rsidR="00C06015">
        <w:t xml:space="preserve">Parametern </w:t>
      </w:r>
      <w:r>
        <w:t xml:space="preserve">ger också </w:t>
      </w:r>
      <w:r w:rsidR="00C06015">
        <w:t xml:space="preserve">Vinnova </w:t>
      </w:r>
      <w:r>
        <w:t xml:space="preserve">underlag för </w:t>
      </w:r>
      <w:r w:rsidR="00C06015">
        <w:t xml:space="preserve">att bedöma </w:t>
      </w:r>
      <w:r>
        <w:t>statsstödets storlek</w:t>
      </w:r>
      <w:r w:rsidR="00C06015">
        <w:t>,</w:t>
      </w:r>
      <w:r>
        <w:t xml:space="preserve"> som måste redovisas i termer av verkliga kostnader per levererad stödtimme till företagen. </w:t>
      </w:r>
    </w:p>
    <w:p w14:paraId="5650DFA2" w14:textId="2E32E66F" w:rsidR="00623FB5" w:rsidRDefault="00623FB5" w:rsidP="00FF4069">
      <w:pPr>
        <w:pStyle w:val="brdtext"/>
        <w:spacing w:line="240" w:lineRule="auto"/>
      </w:pPr>
      <w:r w:rsidRPr="00DB4758">
        <w:rPr>
          <w:b/>
        </w:rPr>
        <w:t>Hur</w:t>
      </w:r>
      <w:r>
        <w:t xml:space="preserve">: </w:t>
      </w:r>
      <w:r w:rsidR="00D829E7">
        <w:t>Inkubatorns kapacitet redovisas</w:t>
      </w:r>
      <w:r>
        <w:t xml:space="preserve"> </w:t>
      </w:r>
      <w:r w:rsidR="00D829E7">
        <w:t>i</w:t>
      </w:r>
      <w:r>
        <w:t xml:space="preserve"> tabell</w:t>
      </w:r>
      <w:r w:rsidR="00D829E7">
        <w:t>en nedan:</w:t>
      </w:r>
      <w: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6"/>
        <w:gridCol w:w="1157"/>
        <w:gridCol w:w="1158"/>
        <w:gridCol w:w="1158"/>
      </w:tblGrid>
      <w:tr w:rsidR="00623FB5" w:rsidRPr="000415DC" w14:paraId="4856EFA3" w14:textId="77777777" w:rsidTr="00A46B63">
        <w:tc>
          <w:tcPr>
            <w:tcW w:w="2296" w:type="dxa"/>
          </w:tcPr>
          <w:p w14:paraId="77A03479" w14:textId="77777777" w:rsidR="00623FB5" w:rsidRPr="000415DC" w:rsidRDefault="00623FB5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Tjänst (timmar)</w:t>
            </w:r>
          </w:p>
        </w:tc>
        <w:tc>
          <w:tcPr>
            <w:tcW w:w="1157" w:type="dxa"/>
          </w:tcPr>
          <w:p w14:paraId="5809F201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158" w:type="dxa"/>
          </w:tcPr>
          <w:p w14:paraId="1095E782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158" w:type="dxa"/>
          </w:tcPr>
          <w:p w14:paraId="61DF2337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2022</w:t>
            </w:r>
          </w:p>
        </w:tc>
      </w:tr>
      <w:tr w:rsidR="00623FB5" w:rsidRPr="000415DC" w14:paraId="594E1E70" w14:textId="77777777" w:rsidTr="00A46B63">
        <w:tc>
          <w:tcPr>
            <w:tcW w:w="2296" w:type="dxa"/>
          </w:tcPr>
          <w:p w14:paraId="4A342751" w14:textId="7605E5A0" w:rsidR="00623FB5" w:rsidRPr="000415DC" w:rsidRDefault="005430C3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Inkubationsprocessen</w:t>
            </w:r>
          </w:p>
        </w:tc>
        <w:tc>
          <w:tcPr>
            <w:tcW w:w="1157" w:type="dxa"/>
          </w:tcPr>
          <w:p w14:paraId="4DD525DE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051A8E84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66DA21C3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6B19BDA8" w14:textId="77777777" w:rsidTr="00A46B63">
        <w:tc>
          <w:tcPr>
            <w:tcW w:w="2296" w:type="dxa"/>
          </w:tcPr>
          <w:p w14:paraId="24F29E68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Selektionsprocessen</w:t>
            </w:r>
          </w:p>
        </w:tc>
        <w:tc>
          <w:tcPr>
            <w:tcW w:w="1157" w:type="dxa"/>
          </w:tcPr>
          <w:p w14:paraId="0AB3CEF5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2F1731F2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27E3D972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78F601D1" w14:textId="77777777" w:rsidTr="00A46B63">
        <w:tc>
          <w:tcPr>
            <w:tcW w:w="2296" w:type="dxa"/>
          </w:tcPr>
          <w:p w14:paraId="558DCEAA" w14:textId="72A24B4C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  <w:r w:rsidRPr="000415DC">
              <w:rPr>
                <w:sz w:val="22"/>
                <w:szCs w:val="22"/>
              </w:rPr>
              <w:t>Övr</w:t>
            </w:r>
            <w:r w:rsidR="00DC5898" w:rsidRPr="000415DC">
              <w:rPr>
                <w:sz w:val="22"/>
                <w:szCs w:val="22"/>
              </w:rPr>
              <w:t>iga</w:t>
            </w:r>
            <w:r w:rsidRPr="000415DC">
              <w:rPr>
                <w:sz w:val="22"/>
                <w:szCs w:val="22"/>
              </w:rPr>
              <w:t xml:space="preserve"> tjänster</w:t>
            </w:r>
          </w:p>
        </w:tc>
        <w:tc>
          <w:tcPr>
            <w:tcW w:w="1157" w:type="dxa"/>
          </w:tcPr>
          <w:p w14:paraId="3C3E3AAE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3A5E06C5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14:paraId="44367A13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sz w:val="22"/>
                <w:szCs w:val="22"/>
              </w:rPr>
            </w:pPr>
          </w:p>
        </w:tc>
      </w:tr>
      <w:tr w:rsidR="00623FB5" w:rsidRPr="000415DC" w14:paraId="7775FFC0" w14:textId="77777777" w:rsidTr="00A46B63">
        <w:tc>
          <w:tcPr>
            <w:tcW w:w="2296" w:type="dxa"/>
          </w:tcPr>
          <w:p w14:paraId="10B0A3BE" w14:textId="77777777" w:rsidR="00623FB5" w:rsidRPr="000415DC" w:rsidRDefault="00623FB5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Summa</w:t>
            </w:r>
          </w:p>
        </w:tc>
        <w:tc>
          <w:tcPr>
            <w:tcW w:w="1157" w:type="dxa"/>
          </w:tcPr>
          <w:p w14:paraId="63866A64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36AC6B46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0F9C3A51" w14:textId="77777777" w:rsidR="00623FB5" w:rsidRPr="000415DC" w:rsidRDefault="00623FB5" w:rsidP="00FF4069">
            <w:pPr>
              <w:pStyle w:val="brdtext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094E466" w14:textId="77777777" w:rsidR="00A46B63" w:rsidRPr="005B7587" w:rsidRDefault="00A46B63" w:rsidP="00FF4069">
      <w:pPr>
        <w:pStyle w:val="brdtext"/>
        <w:spacing w:line="240" w:lineRule="auto"/>
      </w:pPr>
      <w:r w:rsidRPr="007B0A7E">
        <w:rPr>
          <w:b/>
        </w:rPr>
        <w:t>Not</w:t>
      </w:r>
      <w:r>
        <w:t>: Med övriga tjänster avses supporttjänster som exempelvis juristhjälp vid avtal, rekryteringsstöd, etc, dvs tjänster som inte betraktas som direkt coaching av bolagens affärsutveckling.</w:t>
      </w:r>
    </w:p>
    <w:p w14:paraId="04E17026" w14:textId="77777777" w:rsidR="00623FB5" w:rsidRDefault="00623FB5" w:rsidP="00FF4069">
      <w:pPr>
        <w:pStyle w:val="brdtext"/>
        <w:spacing w:line="240" w:lineRule="auto"/>
      </w:pPr>
    </w:p>
    <w:p w14:paraId="57981DF9" w14:textId="489BD50C" w:rsidR="00623FB5" w:rsidRDefault="00623FB5" w:rsidP="00FF4069">
      <w:pPr>
        <w:pStyle w:val="Rubrik2"/>
        <w:numPr>
          <w:ilvl w:val="0"/>
          <w:numId w:val="2"/>
        </w:numPr>
      </w:pPr>
      <w:r>
        <w:t>Nyckeltillgångar</w:t>
      </w:r>
    </w:p>
    <w:p w14:paraId="01C2ADD5" w14:textId="77777777" w:rsidR="00623FB5" w:rsidRDefault="00623FB5" w:rsidP="00FF4069">
      <w:pPr>
        <w:pStyle w:val="brdtext"/>
        <w:spacing w:line="240" w:lineRule="auto"/>
      </w:pPr>
      <w:bookmarkStart w:id="1" w:name="_Hlk23932328"/>
      <w:r w:rsidRPr="007B0A7E">
        <w:rPr>
          <w:b/>
        </w:rPr>
        <w:t>Vad</w:t>
      </w:r>
      <w:r>
        <w:t>: Sökanden ska redovisa de nyckeltillgångar som inkubatorn bygger sin attraktivitet och verksamhetsexcellens på. En nyckeltillgång klassificeras i dels typ, dels grad av unikhet.</w:t>
      </w:r>
    </w:p>
    <w:p w14:paraId="249365B9" w14:textId="77777777" w:rsidR="00623FB5" w:rsidRDefault="00623FB5" w:rsidP="00FF4069">
      <w:pPr>
        <w:pStyle w:val="brdtext"/>
        <w:spacing w:line="240" w:lineRule="auto"/>
      </w:pPr>
      <w:r>
        <w:t>De typer av tillgångar som sökanden kan använda är:</w:t>
      </w:r>
    </w:p>
    <w:p w14:paraId="45B23D88" w14:textId="38A4F2C6" w:rsidR="00623FB5" w:rsidRDefault="00623FB5" w:rsidP="00FF4069">
      <w:pPr>
        <w:pStyle w:val="brdtext"/>
        <w:numPr>
          <w:ilvl w:val="0"/>
          <w:numId w:val="1"/>
        </w:numPr>
        <w:spacing w:line="240" w:lineRule="auto"/>
      </w:pPr>
      <w:r w:rsidRPr="003659E1">
        <w:rPr>
          <w:u w:val="single"/>
        </w:rPr>
        <w:lastRenderedPageBreak/>
        <w:t>Kompetens/person</w:t>
      </w:r>
      <w:r w:rsidR="0014430E">
        <w:t xml:space="preserve"> -</w:t>
      </w:r>
      <w:r>
        <w:t xml:space="preserve"> avser tillgång till en person som har en unik kompetens som är avgörande för inkubatorns prestation</w:t>
      </w:r>
      <w:r w:rsidR="00B93911">
        <w:t>.</w:t>
      </w:r>
    </w:p>
    <w:p w14:paraId="61EF5449" w14:textId="4F6B9921" w:rsidR="00623FB5" w:rsidRDefault="00623FB5" w:rsidP="00FF4069">
      <w:pPr>
        <w:pStyle w:val="brdtext"/>
        <w:numPr>
          <w:ilvl w:val="0"/>
          <w:numId w:val="1"/>
        </w:numPr>
        <w:spacing w:line="240" w:lineRule="auto"/>
      </w:pPr>
      <w:r w:rsidRPr="003659E1">
        <w:rPr>
          <w:u w:val="single"/>
        </w:rPr>
        <w:t>Process/metod/verktyg</w:t>
      </w:r>
      <w:r w:rsidR="0014430E">
        <w:t xml:space="preserve"> -</w:t>
      </w:r>
      <w:r>
        <w:t xml:space="preserve"> avser en tillgång i form av angreppssätt, utrustning etc som är unik och avgörande för inkubatorns prestation</w:t>
      </w:r>
      <w:r w:rsidR="00B93911">
        <w:t>.</w:t>
      </w:r>
    </w:p>
    <w:p w14:paraId="3581521B" w14:textId="3C5A3A2E" w:rsidR="00623FB5" w:rsidRDefault="00623FB5" w:rsidP="00FF4069">
      <w:pPr>
        <w:pStyle w:val="brdtext"/>
        <w:numPr>
          <w:ilvl w:val="0"/>
          <w:numId w:val="1"/>
        </w:numPr>
        <w:spacing w:line="240" w:lineRule="auto"/>
      </w:pPr>
      <w:r w:rsidRPr="003659E1">
        <w:rPr>
          <w:u w:val="single"/>
        </w:rPr>
        <w:t>Industrirelation</w:t>
      </w:r>
      <w:r w:rsidR="0014430E">
        <w:t xml:space="preserve"> -</w:t>
      </w:r>
      <w:r>
        <w:t xml:space="preserve"> avser relationer till företag som gör det möjligt för inkubatorn att snabb och effektivt öppna dörrar till företaget för att antingen validera företagserbjudanden eller boka säljmöten för inkubatorföretag.</w:t>
      </w:r>
    </w:p>
    <w:p w14:paraId="3D37AAA1" w14:textId="134F65D4" w:rsidR="00623FB5" w:rsidRDefault="00623FB5" w:rsidP="00FF4069">
      <w:pPr>
        <w:pStyle w:val="brdtext"/>
        <w:numPr>
          <w:ilvl w:val="0"/>
          <w:numId w:val="1"/>
        </w:numPr>
        <w:spacing w:line="240" w:lineRule="auto"/>
      </w:pPr>
      <w:r w:rsidRPr="003659E1">
        <w:rPr>
          <w:u w:val="single"/>
        </w:rPr>
        <w:t>Investerarrelation</w:t>
      </w:r>
      <w:r w:rsidR="0014430E">
        <w:t xml:space="preserve"> -</w:t>
      </w:r>
      <w:r>
        <w:t xml:space="preserve"> avser upparbetade relationer med en investerare som innebär att inkubatorn kan effektivisera introduktionen av företag till investeraren </w:t>
      </w:r>
    </w:p>
    <w:p w14:paraId="1B99ADA5" w14:textId="6D980432" w:rsidR="00623FB5" w:rsidRDefault="00623FB5" w:rsidP="00FF4069">
      <w:pPr>
        <w:pStyle w:val="brdtext"/>
        <w:numPr>
          <w:ilvl w:val="0"/>
          <w:numId w:val="1"/>
        </w:numPr>
        <w:spacing w:line="240" w:lineRule="auto"/>
      </w:pPr>
      <w:r w:rsidRPr="003659E1">
        <w:rPr>
          <w:u w:val="single"/>
        </w:rPr>
        <w:t>Infrastruktur och utrustning</w:t>
      </w:r>
      <w:r w:rsidR="0014430E">
        <w:t xml:space="preserve"> - avser</w:t>
      </w:r>
      <w:r>
        <w:t xml:space="preserve"> labb, produktionsanläggning, demonstrationsutrustning etc. </w:t>
      </w:r>
    </w:p>
    <w:p w14:paraId="71A74D88" w14:textId="11434EB5" w:rsidR="00623FB5" w:rsidRDefault="00623FB5" w:rsidP="00FF4069">
      <w:pPr>
        <w:pStyle w:val="brdtext"/>
        <w:numPr>
          <w:ilvl w:val="0"/>
          <w:numId w:val="1"/>
        </w:numPr>
        <w:spacing w:line="240" w:lineRule="auto"/>
      </w:pPr>
      <w:r w:rsidRPr="003659E1">
        <w:rPr>
          <w:u w:val="single"/>
        </w:rPr>
        <w:t>Övrigt</w:t>
      </w:r>
      <w:r w:rsidR="001A3E28">
        <w:t xml:space="preserve"> - avser</w:t>
      </w:r>
      <w:r>
        <w:t xml:space="preserve"> tillgångar som inte kan klassificeras i </w:t>
      </w:r>
      <w:r w:rsidR="001A3E28">
        <w:t xml:space="preserve">någon av </w:t>
      </w:r>
      <w:r>
        <w:t>klasser</w:t>
      </w:r>
      <w:r w:rsidR="001A3E28">
        <w:t>na</w:t>
      </w:r>
      <w:r>
        <w:t xml:space="preserve"> ovan.</w:t>
      </w:r>
    </w:p>
    <w:p w14:paraId="3A565C42" w14:textId="77777777" w:rsidR="00623FB5" w:rsidRDefault="00623FB5" w:rsidP="00FF4069">
      <w:pPr>
        <w:pStyle w:val="brdtext"/>
        <w:spacing w:line="240" w:lineRule="auto"/>
      </w:pPr>
      <w:r>
        <w:t>Unikheten klassificeras i regionalt, nationellt eller internationellt unik.</w:t>
      </w:r>
    </w:p>
    <w:p w14:paraId="1E1E2193" w14:textId="0FFC1B12" w:rsidR="00623FB5" w:rsidRPr="00DB4758" w:rsidRDefault="00623FB5" w:rsidP="00FF4069">
      <w:pPr>
        <w:pStyle w:val="brdtext"/>
        <w:spacing w:line="240" w:lineRule="auto"/>
        <w:rPr>
          <w:b/>
        </w:rPr>
      </w:pPr>
      <w:r w:rsidRPr="007B0A7E">
        <w:rPr>
          <w:b/>
        </w:rPr>
        <w:t>Varför</w:t>
      </w:r>
      <w:r>
        <w:t xml:space="preserve">: Som ett komplement till redovisningen av kapacitet i personaltimmar vill </w:t>
      </w:r>
      <w:r w:rsidR="009F19B4">
        <w:t>Vinnova</w:t>
      </w:r>
      <w:r>
        <w:t xml:space="preserve"> få en överblick över nyckeltillgångar i inkubatorns verksamhet. Denna information kommer dessutom vara viktig för </w:t>
      </w:r>
      <w:r w:rsidR="008357C5">
        <w:t xml:space="preserve">Vinnovas </w:t>
      </w:r>
      <w:r>
        <w:t>planering av senare insatser för att utveckla och förbättra ekosystemet för inkubation.</w:t>
      </w:r>
    </w:p>
    <w:p w14:paraId="04FAD6D4" w14:textId="7CDFDBB4" w:rsidR="00623FB5" w:rsidRDefault="00623FB5" w:rsidP="00FF4069">
      <w:pPr>
        <w:pStyle w:val="brdtext"/>
        <w:spacing w:line="240" w:lineRule="auto"/>
      </w:pPr>
      <w:r w:rsidRPr="00DB4758">
        <w:rPr>
          <w:b/>
        </w:rPr>
        <w:t>Hur</w:t>
      </w:r>
      <w:r>
        <w:t xml:space="preserve">: </w:t>
      </w:r>
      <w:r w:rsidR="008357C5">
        <w:t>Inkubatorns nyckeltillgångar redovisas i tabellen nedan</w:t>
      </w:r>
      <w:r w:rsidR="004D4ED4">
        <w:t xml:space="preserve"> (lägg vid behov till fler rader i tabellen)</w:t>
      </w:r>
      <w:r w:rsidR="008357C5">
        <w:t xml:space="preserve">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694"/>
      </w:tblGrid>
      <w:tr w:rsidR="00623FB5" w:rsidRPr="000415DC" w14:paraId="01695CAB" w14:textId="77777777" w:rsidTr="00CD7127">
        <w:tc>
          <w:tcPr>
            <w:tcW w:w="2547" w:type="dxa"/>
          </w:tcPr>
          <w:bookmarkEnd w:id="1"/>
          <w:p w14:paraId="55E7DE60" w14:textId="32897B33" w:rsidR="00623FB5" w:rsidRPr="000415DC" w:rsidRDefault="0000047E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Typ av tillgång</w:t>
            </w:r>
            <w:r w:rsidR="00842E3F" w:rsidRPr="000415DC">
              <w:rPr>
                <w:b/>
                <w:sz w:val="22"/>
                <w:szCs w:val="22"/>
              </w:rPr>
              <w:t xml:space="preserve"> </w:t>
            </w:r>
            <w:r w:rsidR="00842E3F" w:rsidRPr="000415DC">
              <w:rPr>
                <w:sz w:val="22"/>
                <w:szCs w:val="22"/>
              </w:rPr>
              <w:t>(se typer/klasser enligt ovan)</w:t>
            </w:r>
          </w:p>
        </w:tc>
        <w:tc>
          <w:tcPr>
            <w:tcW w:w="3685" w:type="dxa"/>
          </w:tcPr>
          <w:p w14:paraId="3B4AFEBD" w14:textId="701970C2" w:rsidR="00623FB5" w:rsidRPr="000415DC" w:rsidRDefault="0000047E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>Beskrivning av tillgång</w:t>
            </w:r>
          </w:p>
        </w:tc>
        <w:tc>
          <w:tcPr>
            <w:tcW w:w="2694" w:type="dxa"/>
          </w:tcPr>
          <w:p w14:paraId="471B67C9" w14:textId="77777777" w:rsidR="00623FB5" w:rsidRPr="000415DC" w:rsidRDefault="00623FB5" w:rsidP="00FF4069">
            <w:pPr>
              <w:pStyle w:val="brdtext"/>
              <w:spacing w:line="240" w:lineRule="auto"/>
              <w:rPr>
                <w:b/>
                <w:sz w:val="22"/>
                <w:szCs w:val="22"/>
              </w:rPr>
            </w:pPr>
            <w:r w:rsidRPr="000415DC">
              <w:rPr>
                <w:b/>
                <w:sz w:val="22"/>
                <w:szCs w:val="22"/>
              </w:rPr>
              <w:t xml:space="preserve">Grad av unikhet </w:t>
            </w:r>
            <w:r w:rsidRPr="000415DC">
              <w:rPr>
                <w:sz w:val="22"/>
                <w:szCs w:val="22"/>
              </w:rPr>
              <w:t>(regional, nationell, internationell)</w:t>
            </w:r>
          </w:p>
        </w:tc>
      </w:tr>
      <w:tr w:rsidR="00623FB5" w:rsidRPr="000415DC" w14:paraId="3D736219" w14:textId="77777777" w:rsidTr="00CD7127">
        <w:tc>
          <w:tcPr>
            <w:tcW w:w="2547" w:type="dxa"/>
          </w:tcPr>
          <w:p w14:paraId="4214CD02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309AB1B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4F606E6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</w:tr>
      <w:tr w:rsidR="00623FB5" w:rsidRPr="000415DC" w14:paraId="3B5801F4" w14:textId="77777777" w:rsidTr="00CD7127">
        <w:tc>
          <w:tcPr>
            <w:tcW w:w="2547" w:type="dxa"/>
          </w:tcPr>
          <w:p w14:paraId="0E8729EF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26068EC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7A6214A" w14:textId="77777777" w:rsidR="00623FB5" w:rsidRPr="000415DC" w:rsidRDefault="00623FB5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</w:tr>
      <w:tr w:rsidR="004D4ED4" w:rsidRPr="000415DC" w14:paraId="55E2C5CC" w14:textId="77777777" w:rsidTr="00CD7127">
        <w:tc>
          <w:tcPr>
            <w:tcW w:w="2547" w:type="dxa"/>
          </w:tcPr>
          <w:p w14:paraId="6EF5C94C" w14:textId="13E77E63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638546E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A0BE87D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</w:tr>
      <w:tr w:rsidR="004D4ED4" w:rsidRPr="000415DC" w14:paraId="718B8470" w14:textId="77777777" w:rsidTr="00CD7127">
        <w:tc>
          <w:tcPr>
            <w:tcW w:w="2547" w:type="dxa"/>
          </w:tcPr>
          <w:p w14:paraId="766637F4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A7D82C7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C0EDEF0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</w:tr>
      <w:tr w:rsidR="004D4ED4" w:rsidRPr="000415DC" w14:paraId="1AF84620" w14:textId="77777777" w:rsidTr="00CD7127">
        <w:tc>
          <w:tcPr>
            <w:tcW w:w="2547" w:type="dxa"/>
          </w:tcPr>
          <w:p w14:paraId="0D314D5B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77162F1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3ED8AF3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</w:tr>
      <w:tr w:rsidR="004D4ED4" w:rsidRPr="000415DC" w14:paraId="61AE61B3" w14:textId="77777777" w:rsidTr="00CD7127">
        <w:tc>
          <w:tcPr>
            <w:tcW w:w="2547" w:type="dxa"/>
          </w:tcPr>
          <w:p w14:paraId="2AAE84A1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422EDBB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B06DF39" w14:textId="77777777" w:rsidR="004D4ED4" w:rsidRPr="000415DC" w:rsidRDefault="004D4ED4" w:rsidP="00FF4069">
            <w:pPr>
              <w:pStyle w:val="brdtext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A4FC109" w14:textId="77777777" w:rsidR="00623FB5" w:rsidRPr="00F804CC" w:rsidRDefault="00623FB5" w:rsidP="00FF4069">
      <w:pPr>
        <w:pStyle w:val="brdtext"/>
        <w:spacing w:line="240" w:lineRule="auto"/>
      </w:pPr>
    </w:p>
    <w:p w14:paraId="1E4AA049" w14:textId="17D0C03C" w:rsidR="00623FB5" w:rsidRDefault="00F1768C" w:rsidP="00FF4069">
      <w:pPr>
        <w:pStyle w:val="Rubrik2"/>
        <w:numPr>
          <w:ilvl w:val="0"/>
          <w:numId w:val="2"/>
        </w:numPr>
      </w:pPr>
      <w:r>
        <w:t xml:space="preserve">Hur inkubatorn hanterar </w:t>
      </w:r>
      <w:r w:rsidR="0075553C">
        <w:t>eventuell vinst</w:t>
      </w:r>
    </w:p>
    <w:p w14:paraId="347FBAEF" w14:textId="4F023DC6" w:rsidR="0075553C" w:rsidRDefault="0075553C" w:rsidP="00FF4069">
      <w:pPr>
        <w:pStyle w:val="brdtext"/>
        <w:spacing w:line="240" w:lineRule="auto"/>
      </w:pPr>
      <w:r w:rsidRPr="007B0A7E">
        <w:rPr>
          <w:b/>
        </w:rPr>
        <w:t>Vad</w:t>
      </w:r>
      <w:r>
        <w:t xml:space="preserve">: </w:t>
      </w:r>
      <w:r w:rsidR="002507E2">
        <w:t xml:space="preserve">Sökande ska redovisa hur de </w:t>
      </w:r>
      <w:r w:rsidR="00534C00">
        <w:t>hanterar eventuell vinst</w:t>
      </w:r>
      <w:r w:rsidR="002F025F">
        <w:t>.</w:t>
      </w:r>
      <w:r w:rsidR="00534C00">
        <w:t xml:space="preserve"> </w:t>
      </w:r>
      <w:r w:rsidR="002F025F">
        <w:t xml:space="preserve">Eventuell </w:t>
      </w:r>
      <w:r w:rsidR="002507E2">
        <w:t xml:space="preserve">vinst ska </w:t>
      </w:r>
      <w:r w:rsidR="00611A9C">
        <w:t xml:space="preserve">återinvesteras </w:t>
      </w:r>
      <w:r w:rsidR="002507E2">
        <w:t>i ytterligare inkubatorverksamhet</w:t>
      </w:r>
      <w:r w:rsidR="001279B9">
        <w:t>.</w:t>
      </w:r>
    </w:p>
    <w:p w14:paraId="2D37CA36" w14:textId="62026549" w:rsidR="0090269C" w:rsidRDefault="0075553C" w:rsidP="00FF4069">
      <w:pPr>
        <w:pStyle w:val="brdtext"/>
        <w:spacing w:line="240" w:lineRule="auto"/>
      </w:pPr>
      <w:r w:rsidRPr="007B0A7E">
        <w:rPr>
          <w:b/>
        </w:rPr>
        <w:t>Varför</w:t>
      </w:r>
      <w:r>
        <w:t xml:space="preserve">: </w:t>
      </w:r>
      <w:r w:rsidR="002507E2">
        <w:t>Ett av Vinnovas formella krav</w:t>
      </w:r>
      <w:r w:rsidR="001279B9">
        <w:t xml:space="preserve"> för bedömas</w:t>
      </w:r>
      <w:r w:rsidR="002507E2">
        <w:t xml:space="preserve"> är att ”Inkubatorn inte ska dela ut vinst till sina ägare”</w:t>
      </w:r>
    </w:p>
    <w:p w14:paraId="7C3B7F00" w14:textId="3A8CB361" w:rsidR="0075553C" w:rsidRDefault="0075553C" w:rsidP="00FF4069">
      <w:pPr>
        <w:pStyle w:val="brdtext"/>
        <w:spacing w:line="240" w:lineRule="auto"/>
      </w:pPr>
      <w:r w:rsidRPr="00DB4758">
        <w:rPr>
          <w:b/>
        </w:rPr>
        <w:t>Hur</w:t>
      </w:r>
      <w:r>
        <w:t xml:space="preserve">: </w:t>
      </w:r>
      <w:r w:rsidR="00BA76E4">
        <w:t>R</w:t>
      </w:r>
      <w:r w:rsidR="006A0575">
        <w:t xml:space="preserve">edovisa </w:t>
      </w:r>
      <w:r w:rsidR="003E07BB">
        <w:t xml:space="preserve">nedan </w:t>
      </w:r>
      <w:r w:rsidR="00A91065">
        <w:t xml:space="preserve">dokument som visar </w:t>
      </w:r>
      <w:r w:rsidR="00D32369">
        <w:t xml:space="preserve">att </w:t>
      </w:r>
      <w:r w:rsidR="0038564B">
        <w:t xml:space="preserve">inkubatorn varken </w:t>
      </w:r>
      <w:r w:rsidR="00A75B98">
        <w:t>under senaste två år</w:t>
      </w:r>
      <w:r w:rsidR="00E6783A">
        <w:t>sperioden delat ut vinst</w:t>
      </w:r>
      <w:r w:rsidR="0038564B">
        <w:t xml:space="preserve"> eller avser </w:t>
      </w:r>
      <w:r w:rsidR="00332421">
        <w:t xml:space="preserve">dela ut vinst </w:t>
      </w:r>
      <w:r w:rsidR="0038564B">
        <w:t xml:space="preserve">för </w:t>
      </w:r>
      <w:r w:rsidR="00332421">
        <w:t xml:space="preserve">perioden </w:t>
      </w:r>
      <w:r w:rsidR="0038564B">
        <w:t>2021–24</w:t>
      </w:r>
      <w:r w:rsidR="00FD1351">
        <w:t>.</w:t>
      </w:r>
      <w:r>
        <w:t xml:space="preserve"> </w:t>
      </w:r>
    </w:p>
    <w:p w14:paraId="076CAACC" w14:textId="77777777" w:rsidR="00A91065" w:rsidRDefault="00A91065" w:rsidP="00FF4069">
      <w:pPr>
        <w:pStyle w:val="brdtext"/>
        <w:spacing w:line="240" w:lineRule="auto"/>
      </w:pPr>
    </w:p>
    <w:p w14:paraId="3E6B7E3C" w14:textId="77777777" w:rsidR="0075553C" w:rsidRPr="0075553C" w:rsidRDefault="0075553C" w:rsidP="00FF4069">
      <w:pPr>
        <w:pStyle w:val="brdtext"/>
        <w:spacing w:line="240" w:lineRule="auto"/>
      </w:pPr>
    </w:p>
    <w:sectPr w:rsidR="0075553C" w:rsidRPr="0075553C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2004" w14:textId="77777777" w:rsidR="0002240A" w:rsidRDefault="0002240A" w:rsidP="001D59D2">
      <w:pPr>
        <w:spacing w:after="0" w:line="240" w:lineRule="auto"/>
      </w:pPr>
      <w:r>
        <w:separator/>
      </w:r>
    </w:p>
  </w:endnote>
  <w:endnote w:type="continuationSeparator" w:id="0">
    <w:p w14:paraId="2CCC014D" w14:textId="77777777" w:rsidR="0002240A" w:rsidRDefault="0002240A" w:rsidP="001D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D263" w14:textId="77777777" w:rsidR="0002240A" w:rsidRDefault="0002240A" w:rsidP="001D59D2">
      <w:pPr>
        <w:spacing w:after="0" w:line="240" w:lineRule="auto"/>
      </w:pPr>
      <w:r>
        <w:separator/>
      </w:r>
    </w:p>
  </w:footnote>
  <w:footnote w:type="continuationSeparator" w:id="0">
    <w:p w14:paraId="2586C1F6" w14:textId="77777777" w:rsidR="0002240A" w:rsidRDefault="0002240A" w:rsidP="001D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9D1A8" w14:textId="02C19682" w:rsidR="001D59D2" w:rsidRPr="005274F8" w:rsidRDefault="005274F8">
    <w:pPr>
      <w:pStyle w:val="Sidhuvud"/>
      <w:rPr>
        <w:b/>
        <w:sz w:val="28"/>
        <w:szCs w:val="28"/>
      </w:rPr>
    </w:pPr>
    <w:r>
      <w:tab/>
    </w:r>
    <w:r>
      <w:tab/>
    </w:r>
    <w:r w:rsidR="001D59D2" w:rsidRPr="005274F8">
      <w:rPr>
        <w:b/>
        <w:sz w:val="28"/>
        <w:szCs w:val="28"/>
      </w:rPr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8E6"/>
    <w:multiLevelType w:val="hybridMultilevel"/>
    <w:tmpl w:val="CF1E363C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403C4A"/>
    <w:multiLevelType w:val="hybridMultilevel"/>
    <w:tmpl w:val="4370A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94A64"/>
    <w:multiLevelType w:val="hybridMultilevel"/>
    <w:tmpl w:val="977CF0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7A209A"/>
    <w:rsid w:val="0000047E"/>
    <w:rsid w:val="00016392"/>
    <w:rsid w:val="0002240A"/>
    <w:rsid w:val="00026E97"/>
    <w:rsid w:val="000415DC"/>
    <w:rsid w:val="0006439B"/>
    <w:rsid w:val="000665CB"/>
    <w:rsid w:val="000A55A4"/>
    <w:rsid w:val="000B73DB"/>
    <w:rsid w:val="0011671E"/>
    <w:rsid w:val="001279B9"/>
    <w:rsid w:val="0014430E"/>
    <w:rsid w:val="00152CEF"/>
    <w:rsid w:val="0018035A"/>
    <w:rsid w:val="00191543"/>
    <w:rsid w:val="00196C38"/>
    <w:rsid w:val="001A3E28"/>
    <w:rsid w:val="001D59D2"/>
    <w:rsid w:val="00223DD5"/>
    <w:rsid w:val="002507E2"/>
    <w:rsid w:val="00252B7E"/>
    <w:rsid w:val="002642E4"/>
    <w:rsid w:val="0026606F"/>
    <w:rsid w:val="00271D9A"/>
    <w:rsid w:val="002F025F"/>
    <w:rsid w:val="002F68AD"/>
    <w:rsid w:val="00311025"/>
    <w:rsid w:val="00327B2E"/>
    <w:rsid w:val="00332421"/>
    <w:rsid w:val="003507BE"/>
    <w:rsid w:val="003513E6"/>
    <w:rsid w:val="003659E1"/>
    <w:rsid w:val="0038564B"/>
    <w:rsid w:val="003B0516"/>
    <w:rsid w:val="003C482B"/>
    <w:rsid w:val="003D6BA2"/>
    <w:rsid w:val="003E07BB"/>
    <w:rsid w:val="003E2402"/>
    <w:rsid w:val="003F1088"/>
    <w:rsid w:val="00407CD2"/>
    <w:rsid w:val="00452B91"/>
    <w:rsid w:val="00455B31"/>
    <w:rsid w:val="004649E5"/>
    <w:rsid w:val="00471A80"/>
    <w:rsid w:val="004C0EA3"/>
    <w:rsid w:val="004D4ED4"/>
    <w:rsid w:val="00514E0C"/>
    <w:rsid w:val="005274F8"/>
    <w:rsid w:val="00534C00"/>
    <w:rsid w:val="005430C3"/>
    <w:rsid w:val="005A47F9"/>
    <w:rsid w:val="005A4B4E"/>
    <w:rsid w:val="005D28A1"/>
    <w:rsid w:val="005F5E45"/>
    <w:rsid w:val="006061B4"/>
    <w:rsid w:val="00611A9C"/>
    <w:rsid w:val="00623FB5"/>
    <w:rsid w:val="00635E45"/>
    <w:rsid w:val="00664ACF"/>
    <w:rsid w:val="006A0575"/>
    <w:rsid w:val="006A0DB2"/>
    <w:rsid w:val="006A4EE9"/>
    <w:rsid w:val="006E3882"/>
    <w:rsid w:val="00706EE4"/>
    <w:rsid w:val="0075553C"/>
    <w:rsid w:val="00763206"/>
    <w:rsid w:val="00782760"/>
    <w:rsid w:val="007C3F0A"/>
    <w:rsid w:val="007E1FFA"/>
    <w:rsid w:val="007E4F66"/>
    <w:rsid w:val="00815872"/>
    <w:rsid w:val="008357C5"/>
    <w:rsid w:val="00842E3F"/>
    <w:rsid w:val="008716F4"/>
    <w:rsid w:val="008769CD"/>
    <w:rsid w:val="008944F3"/>
    <w:rsid w:val="008A17DC"/>
    <w:rsid w:val="008C3C73"/>
    <w:rsid w:val="008D2AE1"/>
    <w:rsid w:val="0090269C"/>
    <w:rsid w:val="009656C7"/>
    <w:rsid w:val="009B2B53"/>
    <w:rsid w:val="009E48A7"/>
    <w:rsid w:val="009E6041"/>
    <w:rsid w:val="009F19B4"/>
    <w:rsid w:val="009F56EA"/>
    <w:rsid w:val="00A05A29"/>
    <w:rsid w:val="00A22514"/>
    <w:rsid w:val="00A46913"/>
    <w:rsid w:val="00A46B63"/>
    <w:rsid w:val="00A634ED"/>
    <w:rsid w:val="00A731F4"/>
    <w:rsid w:val="00A75B98"/>
    <w:rsid w:val="00A87BCD"/>
    <w:rsid w:val="00A91065"/>
    <w:rsid w:val="00AF4FDE"/>
    <w:rsid w:val="00B10D3B"/>
    <w:rsid w:val="00B31D82"/>
    <w:rsid w:val="00B3720C"/>
    <w:rsid w:val="00B42F23"/>
    <w:rsid w:val="00B93911"/>
    <w:rsid w:val="00B96D1C"/>
    <w:rsid w:val="00BA76E4"/>
    <w:rsid w:val="00BB77D9"/>
    <w:rsid w:val="00C06015"/>
    <w:rsid w:val="00C161D5"/>
    <w:rsid w:val="00C34A58"/>
    <w:rsid w:val="00C52122"/>
    <w:rsid w:val="00C54F6B"/>
    <w:rsid w:val="00C67FB4"/>
    <w:rsid w:val="00C97E8E"/>
    <w:rsid w:val="00CA50AA"/>
    <w:rsid w:val="00CD7127"/>
    <w:rsid w:val="00CE753F"/>
    <w:rsid w:val="00D0375C"/>
    <w:rsid w:val="00D26BD6"/>
    <w:rsid w:val="00D32369"/>
    <w:rsid w:val="00D829E7"/>
    <w:rsid w:val="00D94BD7"/>
    <w:rsid w:val="00DC0008"/>
    <w:rsid w:val="00DC5898"/>
    <w:rsid w:val="00DF3417"/>
    <w:rsid w:val="00E0709A"/>
    <w:rsid w:val="00E132FF"/>
    <w:rsid w:val="00E45D21"/>
    <w:rsid w:val="00E51B96"/>
    <w:rsid w:val="00E6783A"/>
    <w:rsid w:val="00ED0F99"/>
    <w:rsid w:val="00ED6DFD"/>
    <w:rsid w:val="00EE53A2"/>
    <w:rsid w:val="00EE663C"/>
    <w:rsid w:val="00EE796C"/>
    <w:rsid w:val="00F1768C"/>
    <w:rsid w:val="00F464EA"/>
    <w:rsid w:val="00F74CA9"/>
    <w:rsid w:val="00FA2040"/>
    <w:rsid w:val="00FA6F27"/>
    <w:rsid w:val="00FD1351"/>
    <w:rsid w:val="00FF4069"/>
    <w:rsid w:val="267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209A"/>
  <w15:chartTrackingRefBased/>
  <w15:docId w15:val="{E45248FD-3A70-4DFA-BAFF-E00EC704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qFormat/>
    <w:rsid w:val="00623FB5"/>
    <w:pPr>
      <w:keepNext/>
      <w:spacing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link w:val="Rubrik2Char"/>
    <w:qFormat/>
    <w:rsid w:val="00623FB5"/>
    <w:pPr>
      <w:keepNext/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23FB5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623FB5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customStyle="1" w:styleId="brdtext">
    <w:name w:val="_brödtext"/>
    <w:basedOn w:val="Normal"/>
    <w:link w:val="brdtextChar"/>
    <w:rsid w:val="00623FB5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623FB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2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623FB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_brödtext Char"/>
    <w:link w:val="brdtext"/>
    <w:rsid w:val="00623FB5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62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2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FB5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31F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31F4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D5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59D2"/>
  </w:style>
  <w:style w:type="paragraph" w:styleId="Sidfot">
    <w:name w:val="footer"/>
    <w:basedOn w:val="Normal"/>
    <w:link w:val="SidfotChar"/>
    <w:uiPriority w:val="99"/>
    <w:unhideWhenUsed/>
    <w:rsid w:val="001D5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0" ma:contentTypeDescription="Create a new document." ma:contentTypeScope="" ma:versionID="201f1062a5f8828789ad41f0222db760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e423705e753ddb7d01681ddb5e2de92d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10377-A345-480B-B201-7699FE584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0735E-2CF9-4C00-B374-09FD651D9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D433F-D775-4187-91A5-054553858150}">
  <ds:schemaRefs>
    <ds:schemaRef ds:uri="72b3fbdf-202b-4110-82bc-590ee39d2a6c"/>
    <ds:schemaRef ds:uri="http://schemas.microsoft.com/office/2006/metadata/properties"/>
    <ds:schemaRef ds:uri="http://purl.org/dc/dcmitype/"/>
    <ds:schemaRef ds:uri="http://www.w3.org/XML/1998/namespace"/>
    <ds:schemaRef ds:uri="0adb6e9e-56c6-4c5e-9095-71f8ce6dede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Backlund</dc:creator>
  <cp:keywords/>
  <dc:description/>
  <cp:lastModifiedBy>Carl Naumburg</cp:lastModifiedBy>
  <cp:revision>2</cp:revision>
  <dcterms:created xsi:type="dcterms:W3CDTF">2019-11-08T14:34:00Z</dcterms:created>
  <dcterms:modified xsi:type="dcterms:W3CDTF">2019-11-08T14:34:00Z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</Properties>
</file>